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47" w:rsidRPr="009E6E18" w:rsidRDefault="00D71147" w:rsidP="00D71147">
      <w:pPr>
        <w:jc w:val="center"/>
        <w:rPr>
          <w:rFonts w:ascii="Times New Roman" w:hAnsi="Times New Roman" w:cs="Times New Roman"/>
          <w:b/>
          <w:sz w:val="28"/>
          <w:szCs w:val="28"/>
        </w:rPr>
      </w:pPr>
      <w:r w:rsidRPr="009E6E18">
        <w:rPr>
          <w:rFonts w:ascii="Times New Roman" w:hAnsi="Times New Roman" w:cs="Times New Roman"/>
          <w:b/>
          <w:sz w:val="28"/>
          <w:szCs w:val="28"/>
        </w:rPr>
        <w:t>Voting Rights Timeline</w:t>
      </w:r>
      <w:r>
        <w:rPr>
          <w:rFonts w:ascii="Times New Roman" w:hAnsi="Times New Roman" w:cs="Times New Roman"/>
          <w:b/>
          <w:sz w:val="28"/>
          <w:szCs w:val="28"/>
        </w:rPr>
        <w:t xml:space="preserve"> Assignment</w:t>
      </w:r>
    </w:p>
    <w:p w:rsidR="00D71147" w:rsidRPr="009E6E18" w:rsidRDefault="00D71147" w:rsidP="00D71147">
      <w:pPr>
        <w:jc w:val="center"/>
        <w:rPr>
          <w:rFonts w:ascii="Times New Roman" w:hAnsi="Times New Roman" w:cs="Times New Roman"/>
          <w:sz w:val="28"/>
          <w:szCs w:val="28"/>
        </w:rPr>
      </w:pPr>
      <w:r w:rsidRPr="009E6E18">
        <w:rPr>
          <w:rFonts w:ascii="Times New Roman" w:hAnsi="Times New Roman" w:cs="Times New Roman"/>
          <w:b/>
          <w:sz w:val="28"/>
          <w:szCs w:val="28"/>
        </w:rPr>
        <w:t>Directions</w:t>
      </w:r>
      <w:r w:rsidRPr="009E6E18">
        <w:rPr>
          <w:rFonts w:ascii="Times New Roman" w:hAnsi="Times New Roman" w:cs="Times New Roman"/>
          <w:sz w:val="28"/>
          <w:szCs w:val="28"/>
        </w:rPr>
        <w:t xml:space="preserve">: While reading, underline the text that helps you summarize the amendment that is being described. Write a complete sentence that summarizes the amendment or event. Based on the information provided, describe who can and cannot vote. </w:t>
      </w:r>
    </w:p>
    <w:tbl>
      <w:tblPr>
        <w:tblW w:w="14766" w:type="dxa"/>
        <w:jc w:val="center"/>
        <w:tblBorders>
          <w:top w:val="nil"/>
          <w:left w:val="nil"/>
          <w:bottom w:val="nil"/>
          <w:right w:val="nil"/>
        </w:tblBorders>
        <w:tblLayout w:type="fixed"/>
        <w:tblLook w:val="0000" w:firstRow="0" w:lastRow="0" w:firstColumn="0" w:lastColumn="0" w:noHBand="0" w:noVBand="0"/>
      </w:tblPr>
      <w:tblGrid>
        <w:gridCol w:w="795"/>
        <w:gridCol w:w="6297"/>
        <w:gridCol w:w="10"/>
        <w:gridCol w:w="3143"/>
        <w:gridCol w:w="2428"/>
        <w:gridCol w:w="11"/>
        <w:gridCol w:w="2071"/>
        <w:gridCol w:w="11"/>
      </w:tblGrid>
      <w:tr w:rsidR="00D71147" w:rsidRPr="009E6E18" w:rsidTr="00832114">
        <w:trPr>
          <w:gridAfter w:val="1"/>
          <w:wAfter w:w="11" w:type="dxa"/>
          <w:trHeight w:val="286"/>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D71147" w:rsidRDefault="00D71147" w:rsidP="00832114">
            <w:pPr>
              <w:pStyle w:val="NoSpacing"/>
              <w:rPr>
                <w:rFonts w:ascii="Times New Roman" w:hAnsi="Times New Roman"/>
                <w:b/>
                <w:sz w:val="28"/>
                <w:szCs w:val="28"/>
              </w:rPr>
            </w:pPr>
            <w:r w:rsidRPr="00D71147">
              <w:rPr>
                <w:rFonts w:ascii="Times New Roman" w:hAnsi="Times New Roman"/>
                <w:b/>
                <w:sz w:val="28"/>
                <w:szCs w:val="28"/>
              </w:rPr>
              <w:t>Date</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D71147" w:rsidRDefault="00D71147" w:rsidP="00832114">
            <w:pPr>
              <w:pStyle w:val="NoSpacing"/>
              <w:rPr>
                <w:rFonts w:ascii="Times New Roman" w:hAnsi="Times New Roman"/>
                <w:b/>
                <w:sz w:val="28"/>
                <w:szCs w:val="28"/>
              </w:rPr>
            </w:pPr>
            <w:r w:rsidRPr="00D71147">
              <w:rPr>
                <w:rFonts w:ascii="Times New Roman" w:hAnsi="Times New Roman"/>
                <w:b/>
                <w:sz w:val="28"/>
                <w:szCs w:val="28"/>
              </w:rPr>
              <w:t xml:space="preserve">Voting &amp; Amendment Information </w:t>
            </w:r>
          </w:p>
        </w:tc>
        <w:tc>
          <w:tcPr>
            <w:tcW w:w="3143" w:type="dxa"/>
            <w:tcBorders>
              <w:top w:val="single" w:sz="8" w:space="0" w:color="000000"/>
              <w:left w:val="single" w:sz="8" w:space="0" w:color="000000"/>
              <w:bottom w:val="single" w:sz="8" w:space="0" w:color="000000"/>
              <w:right w:val="single" w:sz="8" w:space="0" w:color="000000"/>
            </w:tcBorders>
          </w:tcPr>
          <w:p w:rsidR="00D71147" w:rsidRPr="00D71147" w:rsidRDefault="00D71147" w:rsidP="00832114">
            <w:pPr>
              <w:pStyle w:val="NoSpacing"/>
              <w:rPr>
                <w:rFonts w:ascii="Times New Roman" w:hAnsi="Times New Roman"/>
                <w:b/>
                <w:sz w:val="28"/>
                <w:szCs w:val="28"/>
              </w:rPr>
            </w:pPr>
            <w:r w:rsidRPr="00D71147">
              <w:rPr>
                <w:rFonts w:ascii="Times New Roman" w:hAnsi="Times New Roman"/>
                <w:b/>
                <w:sz w:val="28"/>
                <w:szCs w:val="28"/>
              </w:rPr>
              <w:t xml:space="preserve">Summary of Text </w:t>
            </w: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D71147" w:rsidRDefault="00D71147" w:rsidP="00832114">
            <w:pPr>
              <w:pStyle w:val="NoSpacing"/>
              <w:rPr>
                <w:rFonts w:ascii="Times New Roman" w:hAnsi="Times New Roman"/>
                <w:b/>
                <w:sz w:val="28"/>
                <w:szCs w:val="28"/>
              </w:rPr>
            </w:pPr>
            <w:r w:rsidRPr="00D71147">
              <w:rPr>
                <w:rFonts w:ascii="Times New Roman" w:hAnsi="Times New Roman"/>
                <w:b/>
                <w:sz w:val="28"/>
                <w:szCs w:val="28"/>
              </w:rPr>
              <w:t>Who Can Vote?</w:t>
            </w:r>
          </w:p>
        </w:tc>
        <w:tc>
          <w:tcPr>
            <w:tcW w:w="2071" w:type="dxa"/>
            <w:tcBorders>
              <w:top w:val="single" w:sz="8" w:space="0" w:color="000000"/>
              <w:left w:val="single" w:sz="8" w:space="0" w:color="000000"/>
              <w:bottom w:val="single" w:sz="8" w:space="0" w:color="000000"/>
              <w:right w:val="single" w:sz="8" w:space="0" w:color="000000"/>
            </w:tcBorders>
          </w:tcPr>
          <w:p w:rsidR="00D71147" w:rsidRPr="00D71147" w:rsidRDefault="00D71147" w:rsidP="00832114">
            <w:pPr>
              <w:pStyle w:val="NoSpacing"/>
              <w:rPr>
                <w:rFonts w:ascii="Times New Roman" w:hAnsi="Times New Roman"/>
                <w:b/>
                <w:sz w:val="28"/>
                <w:szCs w:val="28"/>
              </w:rPr>
            </w:pPr>
            <w:r w:rsidRPr="00D71147">
              <w:rPr>
                <w:rFonts w:ascii="Times New Roman" w:hAnsi="Times New Roman"/>
                <w:b/>
                <w:sz w:val="28"/>
                <w:szCs w:val="28"/>
              </w:rPr>
              <w:t>Who Cannot Vote?</w:t>
            </w:r>
          </w:p>
        </w:tc>
      </w:tr>
      <w:tr w:rsidR="00D71147" w:rsidRPr="009E6E18" w:rsidTr="00D71147">
        <w:trPr>
          <w:gridAfter w:val="1"/>
          <w:wAfter w:w="11" w:type="dxa"/>
          <w:trHeight w:val="2635"/>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 xml:space="preserve">1788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 xml:space="preserve">U.S. Constitution adopted. There is no agreement on a national standard for voting rights; states are given the power to regulate their own voting laws. In most cases, voting remains in the hands of white male landowners. </w:t>
            </w:r>
          </w:p>
        </w:tc>
        <w:tc>
          <w:tcPr>
            <w:tcW w:w="3143" w:type="dxa"/>
            <w:tcBorders>
              <w:top w:val="single" w:sz="8" w:space="0" w:color="000000"/>
              <w:left w:val="single" w:sz="8" w:space="0" w:color="000000"/>
              <w:bottom w:val="single" w:sz="8" w:space="0" w:color="000000"/>
              <w:right w:val="single" w:sz="8" w:space="0" w:color="000000"/>
            </w:tcBorders>
          </w:tcPr>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665"/>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1865</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13</w:t>
            </w:r>
            <w:r w:rsidRPr="009E6E18">
              <w:rPr>
                <w:rFonts w:ascii="Times New Roman" w:hAnsi="Times New Roman"/>
                <w:sz w:val="28"/>
                <w:szCs w:val="28"/>
                <w:vertAlign w:val="superscript"/>
              </w:rPr>
              <w:t>th</w:t>
            </w:r>
            <w:r w:rsidRPr="009E6E18">
              <w:rPr>
                <w:rFonts w:ascii="Times New Roman" w:hAnsi="Times New Roman"/>
                <w:sz w:val="28"/>
                <w:szCs w:val="28"/>
              </w:rPr>
              <w:t xml:space="preserve"> Amendment </w:t>
            </w:r>
          </w:p>
          <w:p w:rsidR="00D71147" w:rsidRDefault="00D71147" w:rsidP="00832114">
            <w:pPr>
              <w:pStyle w:val="NoSpacing"/>
              <w:rPr>
                <w:rFonts w:ascii="Times New Roman" w:hAnsi="Times New Roman"/>
                <w:sz w:val="28"/>
                <w:szCs w:val="28"/>
              </w:rPr>
            </w:pPr>
            <w:r w:rsidRPr="009E6E18">
              <w:rPr>
                <w:rFonts w:ascii="Times New Roman" w:hAnsi="Times New Roman"/>
                <w:sz w:val="28"/>
                <w:szCs w:val="28"/>
              </w:rPr>
              <w:t>Neither slavery nor involuntary servitude, except as a punishment for crime whereof the party shall have been duly convicted, shall exist within the United States, or any place subject to their jurisdiction.</w:t>
            </w: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3143" w:type="dxa"/>
            <w:tcBorders>
              <w:top w:val="single" w:sz="8" w:space="0" w:color="000000"/>
              <w:left w:val="single" w:sz="8" w:space="0" w:color="000000"/>
              <w:bottom w:val="single" w:sz="8" w:space="0" w:color="000000"/>
              <w:right w:val="single" w:sz="8" w:space="0" w:color="000000"/>
            </w:tcBorders>
          </w:tcPr>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lastRenderedPageBreak/>
              <w:t xml:space="preserve">1868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14</w:t>
            </w:r>
            <w:r w:rsidRPr="009E6E18">
              <w:rPr>
                <w:rFonts w:ascii="Times New Roman" w:hAnsi="Times New Roman" w:cs="Times New Roman"/>
                <w:sz w:val="28"/>
                <w:szCs w:val="28"/>
                <w:vertAlign w:val="superscript"/>
              </w:rPr>
              <w:t>th</w:t>
            </w:r>
            <w:r w:rsidRPr="009E6E18">
              <w:rPr>
                <w:rFonts w:ascii="Times New Roman" w:hAnsi="Times New Roman" w:cs="Times New Roman"/>
                <w:sz w:val="28"/>
                <w:szCs w:val="28"/>
              </w:rPr>
              <w:t xml:space="preserve"> Amendment </w:t>
            </w:r>
          </w:p>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laws. </w:t>
            </w:r>
          </w:p>
          <w:p w:rsidR="00D71147" w:rsidRPr="009E6E18" w:rsidRDefault="00D71147" w:rsidP="00832114">
            <w:pPr>
              <w:rPr>
                <w:rFonts w:ascii="Times New Roman" w:hAnsi="Times New Roman" w:cs="Times New Roman"/>
                <w:sz w:val="28"/>
                <w:szCs w:val="28"/>
              </w:rPr>
            </w:pPr>
          </w:p>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 xml:space="preserve">In Section 2 a voter is defined as males, being at least twenty-one years of age, and citizens of the United States. </w:t>
            </w:r>
          </w:p>
        </w:tc>
        <w:tc>
          <w:tcPr>
            <w:tcW w:w="3143" w:type="dxa"/>
            <w:tcBorders>
              <w:top w:val="single" w:sz="8" w:space="0" w:color="000000"/>
              <w:left w:val="single" w:sz="8" w:space="0" w:color="000000"/>
              <w:bottom w:val="single" w:sz="8" w:space="0" w:color="000000"/>
              <w:right w:val="single" w:sz="8" w:space="0" w:color="000000"/>
            </w:tcBorders>
          </w:tcPr>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 xml:space="preserve">1870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15</w:t>
            </w:r>
            <w:r w:rsidRPr="009E6E18">
              <w:rPr>
                <w:rFonts w:ascii="Times New Roman" w:hAnsi="Times New Roman" w:cs="Times New Roman"/>
                <w:sz w:val="28"/>
                <w:szCs w:val="28"/>
                <w:vertAlign w:val="superscript"/>
              </w:rPr>
              <w:t>th</w:t>
            </w:r>
            <w:r w:rsidRPr="009E6E18">
              <w:rPr>
                <w:rFonts w:ascii="Times New Roman" w:hAnsi="Times New Roman" w:cs="Times New Roman"/>
                <w:sz w:val="28"/>
                <w:szCs w:val="28"/>
              </w:rPr>
              <w:t xml:space="preserve"> Amendment</w:t>
            </w:r>
          </w:p>
          <w:p w:rsidR="00D71147"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SECTION. 1. The right of citizens of the United States to vote shall not be denied or abridged by the United States or by any State on account of race, color, or previous condition of servitude.</w:t>
            </w:r>
          </w:p>
          <w:p w:rsidR="00D71147" w:rsidRDefault="00D71147" w:rsidP="00832114">
            <w:pPr>
              <w:rPr>
                <w:rFonts w:ascii="Times New Roman" w:hAnsi="Times New Roman" w:cs="Times New Roman"/>
                <w:sz w:val="28"/>
                <w:szCs w:val="28"/>
              </w:rPr>
            </w:pPr>
          </w:p>
          <w:p w:rsidR="00D71147" w:rsidRDefault="00D71147" w:rsidP="00832114">
            <w:pPr>
              <w:rPr>
                <w:rFonts w:ascii="Times New Roman" w:hAnsi="Times New Roman" w:cs="Times New Roman"/>
                <w:sz w:val="28"/>
                <w:szCs w:val="28"/>
              </w:rPr>
            </w:pPr>
          </w:p>
          <w:p w:rsidR="00D71147" w:rsidRDefault="00D71147" w:rsidP="00832114">
            <w:pPr>
              <w:rPr>
                <w:rFonts w:ascii="Times New Roman" w:hAnsi="Times New Roman" w:cs="Times New Roman"/>
                <w:sz w:val="28"/>
                <w:szCs w:val="28"/>
              </w:rPr>
            </w:pPr>
          </w:p>
          <w:p w:rsidR="00D71147" w:rsidRPr="009E6E18" w:rsidRDefault="00D71147" w:rsidP="00832114">
            <w:pPr>
              <w:rPr>
                <w:rFonts w:ascii="Times New Roman" w:hAnsi="Times New Roman" w:cs="Times New Roman"/>
                <w:sz w:val="28"/>
                <w:szCs w:val="28"/>
              </w:rPr>
            </w:pPr>
          </w:p>
        </w:tc>
        <w:tc>
          <w:tcPr>
            <w:tcW w:w="3143" w:type="dxa"/>
            <w:tcBorders>
              <w:top w:val="single" w:sz="8" w:space="0" w:color="000000"/>
              <w:left w:val="single" w:sz="8" w:space="0" w:color="000000"/>
              <w:bottom w:val="single" w:sz="8" w:space="0" w:color="000000"/>
              <w:right w:val="single" w:sz="8" w:space="0" w:color="000000"/>
            </w:tcBorders>
          </w:tcPr>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lastRenderedPageBreak/>
              <w:t xml:space="preserve">1920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19</w:t>
            </w:r>
            <w:r w:rsidRPr="009E6E18">
              <w:rPr>
                <w:rFonts w:ascii="Times New Roman" w:hAnsi="Times New Roman"/>
                <w:sz w:val="28"/>
                <w:szCs w:val="28"/>
                <w:vertAlign w:val="superscript"/>
              </w:rPr>
              <w:t>th</w:t>
            </w:r>
            <w:r w:rsidRPr="009E6E18">
              <w:rPr>
                <w:rFonts w:ascii="Times New Roman" w:hAnsi="Times New Roman"/>
                <w:sz w:val="28"/>
                <w:szCs w:val="28"/>
              </w:rPr>
              <w:t xml:space="preserve"> Amendment </w:t>
            </w:r>
          </w:p>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The right of citizens of the United States to vote shall not be denied or abridged by the United States or by any State on account of sex.</w:t>
            </w:r>
          </w:p>
        </w:tc>
        <w:tc>
          <w:tcPr>
            <w:tcW w:w="3143" w:type="dxa"/>
            <w:tcBorders>
              <w:top w:val="single" w:sz="8" w:space="0" w:color="000000"/>
              <w:left w:val="single" w:sz="8" w:space="0" w:color="000000"/>
              <w:bottom w:val="single" w:sz="8" w:space="0" w:color="000000"/>
              <w:right w:val="single" w:sz="8" w:space="0" w:color="000000"/>
            </w:tcBorders>
          </w:tcPr>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1924</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Congress passes legislation that grants citizenship to all Native Americans born within the territorial limits of the country.</w:t>
            </w:r>
          </w:p>
          <w:p w:rsidR="00D71147" w:rsidRPr="009E6E18"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3143" w:type="dxa"/>
            <w:tcBorders>
              <w:top w:val="single" w:sz="8" w:space="0" w:color="000000"/>
              <w:left w:val="single" w:sz="8" w:space="0" w:color="000000"/>
              <w:bottom w:val="single" w:sz="8" w:space="0" w:color="000000"/>
              <w:right w:val="single" w:sz="4" w:space="0" w:color="auto"/>
            </w:tcBorders>
          </w:tcPr>
          <w:p w:rsidR="00D71147" w:rsidRPr="009E6E18"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Default="00D71147" w:rsidP="00832114">
            <w:pPr>
              <w:pStyle w:val="NoSpacing"/>
              <w:rPr>
                <w:rFonts w:ascii="Times New Roman" w:hAnsi="Times New Roman"/>
                <w:sz w:val="28"/>
                <w:szCs w:val="28"/>
              </w:rPr>
            </w:pPr>
          </w:p>
          <w:p w:rsidR="00D71147" w:rsidRPr="009E6E18" w:rsidRDefault="00D71147" w:rsidP="00832114">
            <w:pPr>
              <w:pStyle w:val="NoSpacing"/>
              <w:rPr>
                <w:rFonts w:ascii="Times New Roman" w:hAnsi="Times New Roman"/>
                <w:sz w:val="28"/>
                <w:szCs w:val="28"/>
              </w:rPr>
            </w:pPr>
          </w:p>
        </w:tc>
        <w:tc>
          <w:tcPr>
            <w:tcW w:w="2439" w:type="dxa"/>
            <w:gridSpan w:val="2"/>
            <w:tcBorders>
              <w:top w:val="single" w:sz="8" w:space="0" w:color="000000"/>
              <w:left w:val="single" w:sz="4" w:space="0" w:color="auto"/>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 xml:space="preserve">1964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r w:rsidRPr="009E6E18">
              <w:rPr>
                <w:rFonts w:ascii="Times New Roman" w:hAnsi="Times New Roman"/>
                <w:bCs/>
                <w:sz w:val="28"/>
                <w:szCs w:val="28"/>
              </w:rPr>
              <w:t>24</w:t>
            </w:r>
            <w:r w:rsidRPr="009E6E18">
              <w:rPr>
                <w:rFonts w:ascii="Times New Roman" w:hAnsi="Times New Roman"/>
                <w:bCs/>
                <w:sz w:val="28"/>
                <w:szCs w:val="28"/>
                <w:vertAlign w:val="superscript"/>
              </w:rPr>
              <w:t>th</w:t>
            </w:r>
            <w:r w:rsidRPr="009E6E18">
              <w:rPr>
                <w:rFonts w:ascii="Times New Roman" w:hAnsi="Times New Roman"/>
                <w:bCs/>
                <w:sz w:val="28"/>
                <w:szCs w:val="28"/>
              </w:rPr>
              <w:t xml:space="preserve"> Amendment </w:t>
            </w:r>
          </w:p>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SECTION. 1.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poll tax or other tax.</w:t>
            </w:r>
          </w:p>
        </w:tc>
        <w:tc>
          <w:tcPr>
            <w:tcW w:w="3143" w:type="dxa"/>
            <w:tcBorders>
              <w:top w:val="single" w:sz="8" w:space="0" w:color="000000"/>
              <w:left w:val="single" w:sz="8" w:space="0" w:color="000000"/>
              <w:bottom w:val="single" w:sz="8" w:space="0" w:color="000000"/>
              <w:right w:val="single" w:sz="4" w:space="0" w:color="auto"/>
            </w:tcBorders>
          </w:tcPr>
          <w:p w:rsidR="00D71147" w:rsidRPr="009E6E18"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tc>
        <w:tc>
          <w:tcPr>
            <w:tcW w:w="2439" w:type="dxa"/>
            <w:gridSpan w:val="2"/>
            <w:tcBorders>
              <w:top w:val="single" w:sz="8" w:space="0" w:color="000000"/>
              <w:left w:val="single" w:sz="4" w:space="0" w:color="auto"/>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tc>
      </w:tr>
      <w:tr w:rsidR="00D71147" w:rsidRPr="009E6E18" w:rsidTr="00832114">
        <w:trPr>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lastRenderedPageBreak/>
              <w:t>1964</w:t>
            </w:r>
          </w:p>
        </w:tc>
        <w:tc>
          <w:tcPr>
            <w:tcW w:w="6297" w:type="dxa"/>
            <w:tcBorders>
              <w:top w:val="single" w:sz="8" w:space="0" w:color="000000"/>
              <w:left w:val="single" w:sz="8" w:space="0" w:color="000000"/>
              <w:bottom w:val="single" w:sz="8" w:space="0" w:color="000000"/>
              <w:right w:val="single" w:sz="4" w:space="0" w:color="auto"/>
            </w:tcBorders>
          </w:tcPr>
          <w:p w:rsidR="00D71147" w:rsidRPr="009E6E18" w:rsidRDefault="00D71147" w:rsidP="00832114">
            <w:pPr>
              <w:spacing w:before="100" w:beforeAutospacing="1" w:after="100" w:afterAutospacing="1"/>
              <w:contextualSpacing/>
              <w:rPr>
                <w:rFonts w:ascii="Times New Roman" w:hAnsi="Times New Roman" w:cs="Times New Roman"/>
                <w:color w:val="1B1C0F"/>
                <w:sz w:val="28"/>
                <w:szCs w:val="28"/>
              </w:rPr>
            </w:pPr>
            <w:r w:rsidRPr="009E6E18">
              <w:rPr>
                <w:rFonts w:ascii="Times New Roman" w:hAnsi="Times New Roman" w:cs="Times New Roman"/>
                <w:color w:val="1B1C0F"/>
                <w:sz w:val="28"/>
                <w:szCs w:val="28"/>
              </w:rPr>
              <w:t>The Civil Rights Act of 1964 prohibited discrimination, or unfair treatment, of all kinds based on race, color, religion, or national origin. The act outlawed segregation in businesses such as theaters, restaurants, and hotels. It banned discriminatory practices in employment and ended segregation in public places such as swimming pools, libraries, and public schools. The law also provided the federal government with the powers to enforce desegregation. The Civil Rights Act of 1964 made it illegal to apply unequal voter registration requirements but did not get rid of literacy tests.</w:t>
            </w:r>
          </w:p>
        </w:tc>
        <w:tc>
          <w:tcPr>
            <w:tcW w:w="3153" w:type="dxa"/>
            <w:gridSpan w:val="2"/>
            <w:tcBorders>
              <w:top w:val="single" w:sz="8" w:space="0" w:color="000000"/>
              <w:left w:val="single" w:sz="4" w:space="0" w:color="auto"/>
              <w:bottom w:val="single" w:sz="8" w:space="0" w:color="000000"/>
              <w:right w:val="single" w:sz="4" w:space="0" w:color="auto"/>
            </w:tcBorders>
          </w:tcPr>
          <w:p w:rsidR="00D71147" w:rsidRPr="009E6E18" w:rsidRDefault="00D71147" w:rsidP="00832114">
            <w:pPr>
              <w:pStyle w:val="NoSpacing"/>
              <w:rPr>
                <w:rFonts w:ascii="Times New Roman" w:hAnsi="Times New Roman"/>
                <w:bCs/>
                <w:sz w:val="28"/>
                <w:szCs w:val="28"/>
              </w:rPr>
            </w:pPr>
          </w:p>
        </w:tc>
        <w:tc>
          <w:tcPr>
            <w:tcW w:w="2428" w:type="dxa"/>
            <w:tcBorders>
              <w:top w:val="single" w:sz="8" w:space="0" w:color="000000"/>
              <w:left w:val="single" w:sz="4" w:space="0" w:color="auto"/>
              <w:bottom w:val="single" w:sz="8" w:space="0" w:color="000000"/>
              <w:right w:val="single" w:sz="4" w:space="0" w:color="auto"/>
            </w:tcBorders>
          </w:tcPr>
          <w:p w:rsidR="00D71147" w:rsidRPr="009E6E18" w:rsidRDefault="00D71147" w:rsidP="00832114">
            <w:pPr>
              <w:pStyle w:val="NoSpacing"/>
              <w:rPr>
                <w:rFonts w:ascii="Times New Roman" w:hAnsi="Times New Roman"/>
                <w:bCs/>
                <w:sz w:val="28"/>
                <w:szCs w:val="28"/>
              </w:rPr>
            </w:pPr>
          </w:p>
        </w:tc>
        <w:tc>
          <w:tcPr>
            <w:tcW w:w="2093" w:type="dxa"/>
            <w:gridSpan w:val="3"/>
            <w:tcBorders>
              <w:top w:val="single" w:sz="8" w:space="0" w:color="000000"/>
              <w:left w:val="single" w:sz="4" w:space="0" w:color="auto"/>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pStyle w:val="NoSpacing"/>
              <w:rPr>
                <w:rFonts w:ascii="Times New Roman" w:hAnsi="Times New Roman"/>
                <w:bCs/>
                <w:sz w:val="28"/>
                <w:szCs w:val="28"/>
              </w:rPr>
            </w:pPr>
          </w:p>
        </w:tc>
      </w:tr>
      <w:tr w:rsidR="00D71147" w:rsidRPr="009E6E18" w:rsidTr="00832114">
        <w:trPr>
          <w:gridAfter w:val="1"/>
          <w:wAfter w:w="11" w:type="dxa"/>
          <w:trHeight w:val="188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1965</w:t>
            </w:r>
          </w:p>
        </w:tc>
        <w:tc>
          <w:tcPr>
            <w:tcW w:w="6297" w:type="dxa"/>
            <w:tcBorders>
              <w:top w:val="single" w:sz="8" w:space="0" w:color="000000"/>
              <w:left w:val="single" w:sz="8" w:space="0" w:color="000000"/>
              <w:bottom w:val="single" w:sz="8" w:space="0" w:color="000000"/>
              <w:right w:val="single" w:sz="4" w:space="0" w:color="auto"/>
            </w:tcBorders>
          </w:tcPr>
          <w:p w:rsidR="00D71147" w:rsidRPr="009E6E18" w:rsidRDefault="00D71147" w:rsidP="00832114">
            <w:pPr>
              <w:pStyle w:val="NoSpacing"/>
              <w:rPr>
                <w:rFonts w:ascii="Times New Roman" w:hAnsi="Times New Roman"/>
                <w:bCs/>
                <w:sz w:val="28"/>
                <w:szCs w:val="28"/>
              </w:rPr>
            </w:pPr>
            <w:r w:rsidRPr="009E6E18">
              <w:rPr>
                <w:rFonts w:ascii="Times New Roman" w:hAnsi="Times New Roman"/>
                <w:color w:val="1B1C0F"/>
                <w:sz w:val="28"/>
                <w:szCs w:val="28"/>
              </w:rPr>
              <w:t>The Voting Rights Act of 1965 banned race discrimination in voting practices by federal, state, and local governments. Despite the ratification of the Fifteenth Amendment in 1870, African Americans in the South faced enormous obstacles to voting, including literacy tests (a reading test used to determine if someone was eligible to register to vote) and other restrictions that resulted in being unable to vote.</w:t>
            </w:r>
          </w:p>
        </w:tc>
        <w:tc>
          <w:tcPr>
            <w:tcW w:w="3153" w:type="dxa"/>
            <w:gridSpan w:val="2"/>
            <w:tcBorders>
              <w:top w:val="single" w:sz="8" w:space="0" w:color="000000"/>
              <w:left w:val="single" w:sz="4" w:space="0" w:color="auto"/>
              <w:bottom w:val="single" w:sz="8" w:space="0" w:color="000000"/>
              <w:right w:val="single" w:sz="4" w:space="0" w:color="auto"/>
            </w:tcBorders>
          </w:tcPr>
          <w:p w:rsidR="00D71147" w:rsidRPr="009E6E18" w:rsidRDefault="00D71147" w:rsidP="00832114">
            <w:pPr>
              <w:rPr>
                <w:rFonts w:ascii="Times New Roman" w:eastAsia="Calibri" w:hAnsi="Times New Roman" w:cs="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tc>
        <w:tc>
          <w:tcPr>
            <w:tcW w:w="2428" w:type="dxa"/>
            <w:tcBorders>
              <w:top w:val="single" w:sz="8" w:space="0" w:color="000000"/>
              <w:left w:val="single" w:sz="4" w:space="0" w:color="auto"/>
              <w:bottom w:val="single" w:sz="8" w:space="0" w:color="000000"/>
              <w:right w:val="single" w:sz="4" w:space="0" w:color="auto"/>
            </w:tcBorders>
          </w:tcPr>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pStyle w:val="NoSpacing"/>
              <w:rPr>
                <w:rFonts w:ascii="Times New Roman" w:hAnsi="Times New Roman"/>
                <w:bCs/>
                <w:sz w:val="28"/>
                <w:szCs w:val="28"/>
              </w:rPr>
            </w:pPr>
          </w:p>
        </w:tc>
        <w:tc>
          <w:tcPr>
            <w:tcW w:w="2082" w:type="dxa"/>
            <w:gridSpan w:val="2"/>
            <w:tcBorders>
              <w:top w:val="single" w:sz="8" w:space="0" w:color="000000"/>
              <w:left w:val="single" w:sz="4" w:space="0" w:color="auto"/>
              <w:bottom w:val="single" w:sz="8" w:space="0" w:color="000000"/>
              <w:right w:val="single" w:sz="8" w:space="0" w:color="000000"/>
            </w:tcBorders>
          </w:tcPr>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pStyle w:val="NoSpacing"/>
              <w:rPr>
                <w:rFonts w:ascii="Times New Roman" w:hAnsi="Times New Roman"/>
                <w:bCs/>
                <w:sz w:val="28"/>
                <w:szCs w:val="28"/>
              </w:rPr>
            </w:pPr>
          </w:p>
        </w:tc>
      </w:tr>
      <w:tr w:rsidR="00D71147" w:rsidRPr="009E6E18" w:rsidTr="00D71147">
        <w:trPr>
          <w:gridAfter w:val="1"/>
          <w:wAfter w:w="11" w:type="dxa"/>
          <w:trHeight w:val="26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lastRenderedPageBreak/>
              <w:t>1968</w:t>
            </w:r>
          </w:p>
        </w:tc>
        <w:tc>
          <w:tcPr>
            <w:tcW w:w="6297" w:type="dxa"/>
            <w:tcBorders>
              <w:top w:val="single" w:sz="8" w:space="0" w:color="000000"/>
              <w:left w:val="single" w:sz="8" w:space="0" w:color="000000"/>
              <w:bottom w:val="single" w:sz="8" w:space="0" w:color="000000"/>
              <w:right w:val="single" w:sz="4" w:space="0" w:color="auto"/>
            </w:tcBorders>
          </w:tcPr>
          <w:p w:rsidR="00D71147" w:rsidRPr="00D71147" w:rsidRDefault="00D71147" w:rsidP="00832114">
            <w:pPr>
              <w:pStyle w:val="NoSpacing"/>
              <w:rPr>
                <w:rFonts w:ascii="Times New Roman" w:hAnsi="Times New Roman"/>
                <w:color w:val="1B1C0F"/>
                <w:sz w:val="28"/>
                <w:szCs w:val="28"/>
              </w:rPr>
            </w:pPr>
            <w:r w:rsidRPr="009E6E18">
              <w:rPr>
                <w:rFonts w:ascii="Times New Roman" w:hAnsi="Times New Roman"/>
                <w:color w:val="1B1C0F"/>
                <w:sz w:val="28"/>
                <w:szCs w:val="28"/>
              </w:rPr>
              <w:t>The Fair Housing Act, was signed into law in April 1968. This act prohibited discrimination related to the sale, rental and financing of housing based on race, religion, national origin and sex. This act was a follow-up to the Civil Rights Act of 1964, and is seen as the final great legislative achi</w:t>
            </w:r>
            <w:r>
              <w:rPr>
                <w:rFonts w:ascii="Times New Roman" w:hAnsi="Times New Roman"/>
                <w:color w:val="1B1C0F"/>
                <w:sz w:val="28"/>
                <w:szCs w:val="28"/>
              </w:rPr>
              <w:t>evement of the civil rights era.</w:t>
            </w:r>
          </w:p>
        </w:tc>
        <w:tc>
          <w:tcPr>
            <w:tcW w:w="3153" w:type="dxa"/>
            <w:gridSpan w:val="2"/>
            <w:tcBorders>
              <w:top w:val="single" w:sz="8" w:space="0" w:color="000000"/>
              <w:left w:val="single" w:sz="4" w:space="0" w:color="auto"/>
              <w:bottom w:val="single" w:sz="8" w:space="0" w:color="000000"/>
              <w:right w:val="single" w:sz="4" w:space="0" w:color="auto"/>
            </w:tcBorders>
          </w:tcPr>
          <w:p w:rsidR="00D71147" w:rsidRPr="009E6E18" w:rsidRDefault="00D71147" w:rsidP="00832114">
            <w:pPr>
              <w:rPr>
                <w:rFonts w:ascii="Times New Roman" w:eastAsia="Calibri" w:hAnsi="Times New Roman" w:cs="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bookmarkStart w:id="0" w:name="_GoBack"/>
            <w:bookmarkEnd w:id="0"/>
          </w:p>
        </w:tc>
        <w:tc>
          <w:tcPr>
            <w:tcW w:w="2428" w:type="dxa"/>
            <w:tcBorders>
              <w:top w:val="single" w:sz="8" w:space="0" w:color="000000"/>
              <w:left w:val="single" w:sz="4" w:space="0" w:color="auto"/>
              <w:bottom w:val="single" w:sz="8" w:space="0" w:color="000000"/>
              <w:right w:val="single" w:sz="4" w:space="0" w:color="auto"/>
            </w:tcBorders>
          </w:tcPr>
          <w:p w:rsidR="00D71147" w:rsidRPr="009E6E18"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tc>
        <w:tc>
          <w:tcPr>
            <w:tcW w:w="2082" w:type="dxa"/>
            <w:gridSpan w:val="2"/>
            <w:tcBorders>
              <w:top w:val="single" w:sz="8" w:space="0" w:color="000000"/>
              <w:left w:val="single" w:sz="4" w:space="0" w:color="auto"/>
              <w:bottom w:val="single" w:sz="8" w:space="0" w:color="000000"/>
              <w:right w:val="single" w:sz="8" w:space="0" w:color="000000"/>
            </w:tcBorders>
          </w:tcPr>
          <w:p w:rsidR="00D71147" w:rsidRPr="009E6E18" w:rsidRDefault="00D71147" w:rsidP="00832114">
            <w:pPr>
              <w:rPr>
                <w:rFonts w:ascii="Times New Roman" w:eastAsia="Calibri" w:hAnsi="Times New Roman" w:cs="Times New Roman"/>
                <w:bCs/>
                <w:sz w:val="28"/>
                <w:szCs w:val="28"/>
              </w:rPr>
            </w:pPr>
          </w:p>
          <w:p w:rsidR="00D71147" w:rsidRPr="009E6E18" w:rsidRDefault="00D71147" w:rsidP="00832114">
            <w:pPr>
              <w:pStyle w:val="NoSpacing"/>
              <w:rPr>
                <w:rFonts w:ascii="Times New Roman" w:hAnsi="Times New Roman"/>
                <w:bCs/>
                <w:sz w:val="28"/>
                <w:szCs w:val="28"/>
              </w:rPr>
            </w:pPr>
          </w:p>
        </w:tc>
      </w:tr>
      <w:tr w:rsidR="00D71147" w:rsidRPr="009E6E18" w:rsidTr="00832114">
        <w:trPr>
          <w:gridAfter w:val="1"/>
          <w:wAfter w:w="11" w:type="dxa"/>
          <w:trHeight w:val="508"/>
          <w:jc w:val="center"/>
        </w:trPr>
        <w:tc>
          <w:tcPr>
            <w:tcW w:w="795"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sz w:val="28"/>
                <w:szCs w:val="28"/>
              </w:rPr>
            </w:pPr>
            <w:r w:rsidRPr="009E6E18">
              <w:rPr>
                <w:rFonts w:ascii="Times New Roman" w:hAnsi="Times New Roman"/>
                <w:sz w:val="28"/>
                <w:szCs w:val="28"/>
              </w:rPr>
              <w:t xml:space="preserve">1971 </w:t>
            </w:r>
          </w:p>
        </w:tc>
        <w:tc>
          <w:tcPr>
            <w:tcW w:w="6307"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26</w:t>
            </w:r>
            <w:r w:rsidRPr="009E6E18">
              <w:rPr>
                <w:rFonts w:ascii="Times New Roman" w:hAnsi="Times New Roman" w:cs="Times New Roman"/>
                <w:sz w:val="28"/>
                <w:szCs w:val="28"/>
                <w:vertAlign w:val="superscript"/>
              </w:rPr>
              <w:t>th</w:t>
            </w:r>
            <w:r w:rsidRPr="009E6E18">
              <w:rPr>
                <w:rFonts w:ascii="Times New Roman" w:hAnsi="Times New Roman" w:cs="Times New Roman"/>
                <w:sz w:val="28"/>
                <w:szCs w:val="28"/>
              </w:rPr>
              <w:t xml:space="preserve"> Amendment</w:t>
            </w:r>
          </w:p>
          <w:p w:rsidR="00D71147" w:rsidRPr="009E6E18" w:rsidRDefault="00D71147" w:rsidP="00832114">
            <w:pPr>
              <w:rPr>
                <w:rFonts w:ascii="Times New Roman" w:hAnsi="Times New Roman" w:cs="Times New Roman"/>
                <w:sz w:val="28"/>
                <w:szCs w:val="28"/>
              </w:rPr>
            </w:pPr>
            <w:r w:rsidRPr="009E6E18">
              <w:rPr>
                <w:rFonts w:ascii="Times New Roman" w:hAnsi="Times New Roman" w:cs="Times New Roman"/>
                <w:sz w:val="28"/>
                <w:szCs w:val="28"/>
              </w:rPr>
              <w:t>SECTION. 1. The right of citizens of the United States, who are eighteen years of age or older, to vote shall not be denied or abridged by the United States or by any State on account of age.</w:t>
            </w:r>
          </w:p>
        </w:tc>
        <w:tc>
          <w:tcPr>
            <w:tcW w:w="3143"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p w:rsidR="00D71147" w:rsidRPr="009E6E18" w:rsidRDefault="00D71147" w:rsidP="00832114">
            <w:pPr>
              <w:pStyle w:val="NoSpacing"/>
              <w:rPr>
                <w:rFonts w:ascii="Times New Roman" w:hAnsi="Times New Roman"/>
                <w:bCs/>
                <w:sz w:val="28"/>
                <w:szCs w:val="28"/>
              </w:rPr>
            </w:pPr>
          </w:p>
        </w:tc>
        <w:tc>
          <w:tcPr>
            <w:tcW w:w="2439" w:type="dxa"/>
            <w:gridSpan w:val="2"/>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tc>
        <w:tc>
          <w:tcPr>
            <w:tcW w:w="2071" w:type="dxa"/>
            <w:tcBorders>
              <w:top w:val="single" w:sz="8" w:space="0" w:color="000000"/>
              <w:left w:val="single" w:sz="8" w:space="0" w:color="000000"/>
              <w:bottom w:val="single" w:sz="8" w:space="0" w:color="000000"/>
              <w:right w:val="single" w:sz="8" w:space="0" w:color="000000"/>
            </w:tcBorders>
          </w:tcPr>
          <w:p w:rsidR="00D71147" w:rsidRPr="009E6E18" w:rsidRDefault="00D71147" w:rsidP="00832114">
            <w:pPr>
              <w:pStyle w:val="NoSpacing"/>
              <w:rPr>
                <w:rFonts w:ascii="Times New Roman" w:hAnsi="Times New Roman"/>
                <w:bCs/>
                <w:sz w:val="28"/>
                <w:szCs w:val="28"/>
              </w:rPr>
            </w:pPr>
          </w:p>
        </w:tc>
      </w:tr>
    </w:tbl>
    <w:p w:rsidR="007D020B" w:rsidRDefault="007D020B"/>
    <w:sectPr w:rsidR="007D020B" w:rsidSect="00D711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47"/>
    <w:rsid w:val="007D020B"/>
    <w:rsid w:val="00D7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8718"/>
  <w15:chartTrackingRefBased/>
  <w15:docId w15:val="{1DCCC612-32A0-4A9A-92DA-0748B1B2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47"/>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14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71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cp:lastPrinted>2019-04-06T18:14:00Z</cp:lastPrinted>
  <dcterms:created xsi:type="dcterms:W3CDTF">2019-04-06T18:12:00Z</dcterms:created>
  <dcterms:modified xsi:type="dcterms:W3CDTF">2019-04-06T18:15:00Z</dcterms:modified>
</cp:coreProperties>
</file>