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56"/>
        <w:tblW w:w="15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10"/>
        <w:gridCol w:w="7110"/>
      </w:tblGrid>
      <w:tr w:rsidR="00BF6038" w:rsidTr="00BF6038">
        <w:tc>
          <w:tcPr>
            <w:tcW w:w="15220" w:type="dxa"/>
            <w:gridSpan w:val="2"/>
            <w:shd w:val="clear" w:color="auto" w:fill="auto"/>
          </w:tcPr>
          <w:p w:rsidR="00BF6038" w:rsidRPr="00BF6038" w:rsidRDefault="00BF6038" w:rsidP="00BF6038">
            <w:pPr>
              <w:jc w:val="center"/>
              <w:rPr>
                <w:rFonts w:eastAsia="MS Mincho"/>
                <w:b/>
                <w:sz w:val="28"/>
                <w:szCs w:val="28"/>
              </w:rPr>
            </w:pPr>
            <w:r w:rsidRPr="00BF6038">
              <w:rPr>
                <w:rFonts w:eastAsia="MS Mincho"/>
                <w:b/>
                <w:sz w:val="28"/>
                <w:szCs w:val="28"/>
              </w:rPr>
              <w:t>Understanding the Judicial Branch | Article III of the U.S Constitution</w:t>
            </w:r>
            <w:bookmarkStart w:id="0" w:name="_GoBack"/>
            <w:bookmarkEnd w:id="0"/>
          </w:p>
          <w:p w:rsidR="00BF6038" w:rsidRPr="00BF6038" w:rsidRDefault="00BF6038" w:rsidP="00BF6038">
            <w:pPr>
              <w:rPr>
                <w:rFonts w:eastAsia="MS Mincho"/>
                <w:b/>
                <w:sz w:val="28"/>
                <w:szCs w:val="28"/>
              </w:rPr>
            </w:pPr>
            <w:r w:rsidRPr="00BF6038">
              <w:rPr>
                <w:rFonts w:eastAsia="MS Mincho"/>
                <w:b/>
                <w:sz w:val="28"/>
                <w:szCs w:val="28"/>
              </w:rPr>
              <w:t xml:space="preserve">Directions: Work with your partner to read each passage from Article II and answer the questions. </w:t>
            </w: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b/>
                <w:bCs/>
              </w:rPr>
              <w:t>Section. 1.</w:t>
            </w:r>
            <w:bookmarkStart w:id="1" w:name="BM3_1_1"/>
            <w:bookmarkEnd w:id="1"/>
            <w:r w:rsidRPr="00D06093">
              <w:rPr>
                <w:rFonts w:ascii="Times New Roman" w:eastAsia="MS Mincho" w:hAnsi="Times New Roman" w:cs="Times New Roman"/>
              </w:rPr>
              <w:t xml:space="preserve"> The judicial Power of the United States shall be vested in one supreme Court, and in such inferior Courts as the Congress may from time to time ordain and establish.</w:t>
            </w:r>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is established in Article III, Section 1? What vocabulary term is related to this section? </w:t>
            </w:r>
          </w:p>
          <w:p w:rsidR="00BF6038" w:rsidRPr="00D06093"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Pr="00D06093" w:rsidRDefault="00BF6038" w:rsidP="00BF6038">
            <w:pPr>
              <w:rPr>
                <w:rFonts w:ascii="Times" w:eastAsia="MS Mincho" w:hAnsi="Times"/>
              </w:rPr>
            </w:pP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rPr>
              <w:t xml:space="preserve">The Judges, both of the supreme and inferior Courts, shall hold their Offices during good </w:t>
            </w:r>
            <w:r w:rsidRPr="00D06093">
              <w:rPr>
                <w:rFonts w:ascii="Times New Roman" w:eastAsia="MS Mincho" w:hAnsi="Times New Roman" w:cs="Times New Roman"/>
              </w:rPr>
              <w:t>Behavior</w:t>
            </w:r>
            <w:r w:rsidRPr="00D06093">
              <w:rPr>
                <w:rFonts w:ascii="Times New Roman" w:eastAsia="MS Mincho" w:hAnsi="Times New Roman" w:cs="Times New Roman"/>
              </w:rPr>
              <w:t>, and shall, at stated Times, receive for their Services a Compensation, which shall not be diminished during their Continuance in Office.</w:t>
            </w:r>
            <w:bookmarkStart w:id="2" w:name="BM3_2"/>
            <w:bookmarkEnd w:id="2"/>
          </w:p>
        </w:tc>
        <w:tc>
          <w:tcPr>
            <w:tcW w:w="7110" w:type="dxa"/>
            <w:shd w:val="clear" w:color="auto" w:fill="auto"/>
          </w:tcPr>
          <w:p w:rsidR="00BF6038" w:rsidRDefault="00BF6038" w:rsidP="00BF6038">
            <w:pPr>
              <w:rPr>
                <w:rFonts w:ascii="Times" w:eastAsia="MS Mincho" w:hAnsi="Times"/>
                <w:b/>
              </w:rPr>
            </w:pPr>
            <w:r w:rsidRPr="00BF6038">
              <w:rPr>
                <w:rFonts w:ascii="Times" w:eastAsia="MS Mincho" w:hAnsi="Times"/>
                <w:b/>
              </w:rPr>
              <w:t xml:space="preserve">What are the qualifications for judges to hold their office? </w:t>
            </w: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Pr="00BF6038" w:rsidRDefault="00BF6038" w:rsidP="00BF6038">
            <w:pPr>
              <w:rPr>
                <w:rFonts w:ascii="Times" w:eastAsia="MS Mincho" w:hAnsi="Times"/>
                <w:b/>
              </w:rPr>
            </w:pPr>
          </w:p>
          <w:p w:rsidR="00BF6038" w:rsidRPr="00D06093" w:rsidRDefault="00BF6038" w:rsidP="00BF6038">
            <w:pPr>
              <w:rPr>
                <w:rFonts w:ascii="Times" w:eastAsia="MS Mincho" w:hAnsi="Times"/>
              </w:rPr>
            </w:pP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b/>
                <w:bCs/>
              </w:rPr>
              <w:t>Section. 2.</w:t>
            </w:r>
            <w:bookmarkStart w:id="3" w:name="BM3_2_1"/>
            <w:bookmarkEnd w:id="3"/>
            <w:r w:rsidRPr="00D06093">
              <w:rPr>
                <w:rFonts w:ascii="Times New Roman" w:eastAsia="MS Mincho" w:hAnsi="Times New Roman" w:cs="Times New Roman"/>
              </w:rPr>
              <w:t xml:space="preserve">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between a State and Citizens of another State,--between Citizens of different States,--between Citizens of the same State claiming Lands under Grants of different States, and between a State, or the Citizens thereof, and foreign States, Citizens or Subjects.</w:t>
            </w:r>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types of cases does the Supreme Court hear? </w:t>
            </w: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Pr="00D06093" w:rsidRDefault="00BF6038" w:rsidP="00BF6038">
            <w:pPr>
              <w:rPr>
                <w:rFonts w:ascii="Times" w:eastAsia="MS Mincho" w:hAnsi="Times"/>
              </w:rPr>
            </w:pP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rPr>
              <w:lastRenderedPageBreak/>
              <w:t>In all Cases affecting Ambassadors, other public Ministers and Consuls, and those in which a State shall be Party, the supreme Court shall have original Jurisdiction.</w:t>
            </w:r>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important power is explained in this section? </w:t>
            </w:r>
          </w:p>
          <w:p w:rsidR="00BF6038" w:rsidRDefault="00BF6038" w:rsidP="00BF6038">
            <w:pPr>
              <w:pStyle w:val="ListParagraph"/>
              <w:rPr>
                <w:rFonts w:ascii="Times" w:hAnsi="Times"/>
              </w:rPr>
            </w:pPr>
          </w:p>
          <w:p w:rsidR="00BF6038" w:rsidRDefault="00BF6038" w:rsidP="00BF6038">
            <w:pPr>
              <w:pStyle w:val="ListParagraph"/>
              <w:rPr>
                <w:rFonts w:ascii="Times" w:hAnsi="Times"/>
              </w:rPr>
            </w:pPr>
          </w:p>
          <w:p w:rsidR="00BF6038" w:rsidRDefault="00BF6038" w:rsidP="00BF6038">
            <w:pPr>
              <w:pStyle w:val="ListParagraph"/>
              <w:rPr>
                <w:rFonts w:ascii="Times" w:hAnsi="Times"/>
              </w:rPr>
            </w:pPr>
          </w:p>
          <w:p w:rsidR="00BF6038" w:rsidRDefault="00BF6038" w:rsidP="00BF6038">
            <w:pPr>
              <w:pStyle w:val="ListParagraph"/>
              <w:rPr>
                <w:rFonts w:ascii="Times" w:hAnsi="Times"/>
              </w:rPr>
            </w:pPr>
          </w:p>
          <w:p w:rsidR="00BF6038" w:rsidRDefault="00BF6038" w:rsidP="00BF6038">
            <w:pPr>
              <w:pStyle w:val="ListParagraph"/>
              <w:rPr>
                <w:rFonts w:ascii="Times" w:hAnsi="Times"/>
              </w:rPr>
            </w:pPr>
          </w:p>
          <w:p w:rsidR="00BF6038" w:rsidRPr="00D06093" w:rsidRDefault="00BF6038" w:rsidP="00BF6038">
            <w:pPr>
              <w:pStyle w:val="ListParagraph"/>
              <w:rPr>
                <w:rFonts w:ascii="Times" w:hAnsi="Times"/>
              </w:rPr>
            </w:pPr>
          </w:p>
        </w:tc>
      </w:tr>
      <w:tr w:rsidR="00BF6038" w:rsidTr="00BF6038">
        <w:tc>
          <w:tcPr>
            <w:tcW w:w="8110" w:type="dxa"/>
            <w:shd w:val="clear" w:color="auto" w:fill="auto"/>
          </w:tcPr>
          <w:p w:rsidR="00BF6038" w:rsidRDefault="00BF6038" w:rsidP="00BF6038">
            <w:pPr>
              <w:rPr>
                <w:rFonts w:ascii="Times New Roman" w:eastAsia="MS Mincho" w:hAnsi="Times New Roman" w:cs="Times New Roman"/>
              </w:rPr>
            </w:pPr>
            <w:r w:rsidRPr="00D06093">
              <w:rPr>
                <w:rFonts w:ascii="Times New Roman" w:eastAsia="MS Mincho" w:hAnsi="Times New Roman" w:cs="Times New Roman"/>
              </w:rPr>
              <w:t>In all the other Cases before mentioned, the supreme Court shall have appellate Jurisdiction, both as to Law and Fact, with such Exceptions, and under such Regulations as the Congress shall make.</w:t>
            </w:r>
          </w:p>
          <w:p w:rsidR="00BF6038" w:rsidRDefault="00BF6038" w:rsidP="00BF6038">
            <w:pPr>
              <w:rPr>
                <w:rFonts w:ascii="Times New Roman" w:eastAsia="MS Mincho" w:hAnsi="Times New Roman" w:cs="Times New Roman"/>
              </w:rPr>
            </w:pPr>
          </w:p>
          <w:p w:rsidR="00BF6038" w:rsidRDefault="00BF6038" w:rsidP="00BF6038">
            <w:pPr>
              <w:rPr>
                <w:rFonts w:ascii="Times New Roman" w:eastAsia="MS Mincho" w:hAnsi="Times New Roman" w:cs="Times New Roman"/>
              </w:rPr>
            </w:pPr>
          </w:p>
          <w:p w:rsidR="00BF6038" w:rsidRDefault="00BF6038" w:rsidP="00BF6038">
            <w:pPr>
              <w:rPr>
                <w:rFonts w:ascii="Times New Roman" w:eastAsia="MS Mincho" w:hAnsi="Times New Roman" w:cs="Times New Roman"/>
              </w:rPr>
            </w:pPr>
          </w:p>
          <w:p w:rsidR="00BF6038" w:rsidRDefault="00BF6038" w:rsidP="00BF6038">
            <w:pPr>
              <w:rPr>
                <w:rFonts w:ascii="Times New Roman" w:eastAsia="MS Mincho" w:hAnsi="Times New Roman" w:cs="Times New Roman"/>
              </w:rPr>
            </w:pPr>
          </w:p>
          <w:p w:rsidR="00BF6038" w:rsidRPr="00D06093" w:rsidRDefault="00BF6038" w:rsidP="00BF6038">
            <w:pPr>
              <w:rPr>
                <w:rFonts w:eastAsia="MS Mincho"/>
              </w:rPr>
            </w:pPr>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important power is explained in this section? </w:t>
            </w:r>
          </w:p>
          <w:p w:rsidR="00BF6038" w:rsidRPr="00D06093" w:rsidRDefault="00BF6038" w:rsidP="00BF6038">
            <w:pPr>
              <w:rPr>
                <w:rFonts w:ascii="Times" w:eastAsia="MS Mincho" w:hAnsi="Times"/>
              </w:rPr>
            </w:pP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bookmarkStart w:id="4" w:name="BM3_3"/>
            <w:bookmarkEnd w:id="4"/>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type of trial is being described in this passage? </w:t>
            </w:r>
          </w:p>
          <w:p w:rsidR="00BF6038" w:rsidRDefault="00BF6038" w:rsidP="00BF6038">
            <w:pPr>
              <w:rPr>
                <w:rFonts w:ascii="Times" w:eastAsia="MS Mincho" w:hAnsi="Times"/>
                <w:b/>
              </w:rPr>
            </w:pPr>
            <w:r w:rsidRPr="00BF6038">
              <w:rPr>
                <w:rFonts w:ascii="Times" w:eastAsia="MS Mincho" w:hAnsi="Times"/>
                <w:b/>
              </w:rPr>
              <w:t xml:space="preserve">Where do these trials take place? </w:t>
            </w: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Default="00BF6038" w:rsidP="00BF6038">
            <w:pPr>
              <w:rPr>
                <w:rFonts w:ascii="Times" w:eastAsia="MS Mincho" w:hAnsi="Times"/>
                <w:b/>
              </w:rPr>
            </w:pPr>
          </w:p>
          <w:p w:rsidR="00BF6038" w:rsidRPr="00BF6038" w:rsidRDefault="00BF6038" w:rsidP="00BF6038">
            <w:pPr>
              <w:rPr>
                <w:rFonts w:ascii="Times" w:eastAsia="MS Mincho" w:hAnsi="Times"/>
                <w:b/>
              </w:rPr>
            </w:pPr>
          </w:p>
          <w:p w:rsidR="00BF6038" w:rsidRPr="00D06093" w:rsidRDefault="00BF6038" w:rsidP="00BF6038">
            <w:pPr>
              <w:rPr>
                <w:rFonts w:ascii="Times" w:eastAsia="MS Mincho" w:hAnsi="Times"/>
              </w:rPr>
            </w:pPr>
          </w:p>
          <w:p w:rsidR="00BF6038" w:rsidRPr="00D06093" w:rsidRDefault="00BF6038" w:rsidP="00BF6038">
            <w:pPr>
              <w:rPr>
                <w:rFonts w:ascii="Times" w:eastAsia="MS Mincho" w:hAnsi="Times"/>
              </w:rPr>
            </w:pPr>
          </w:p>
        </w:tc>
      </w:tr>
      <w:tr w:rsidR="00BF6038" w:rsidTr="00BF6038">
        <w:tc>
          <w:tcPr>
            <w:tcW w:w="8110" w:type="dxa"/>
            <w:shd w:val="clear" w:color="auto" w:fill="auto"/>
          </w:tcPr>
          <w:p w:rsidR="00BF6038" w:rsidRPr="00D06093" w:rsidRDefault="00BF6038" w:rsidP="00BF6038">
            <w:pPr>
              <w:rPr>
                <w:rFonts w:eastAsia="MS Mincho"/>
              </w:rPr>
            </w:pPr>
            <w:r w:rsidRPr="00D06093">
              <w:rPr>
                <w:rFonts w:ascii="Times New Roman" w:eastAsia="MS Mincho" w:hAnsi="Times New Roman" w:cs="Times New Roman"/>
                <w:b/>
                <w:bCs/>
              </w:rPr>
              <w:t>Section. 3.</w:t>
            </w:r>
            <w:bookmarkStart w:id="5" w:name="BM3_3_1"/>
            <w:bookmarkEnd w:id="5"/>
            <w:r w:rsidRPr="00D06093">
              <w:rPr>
                <w:rFonts w:ascii="Times New Roman" w:eastAsia="MS Mincho" w:hAnsi="Times New Roman" w:cs="Times New Roman"/>
              </w:rPr>
              <w:t xml:space="preserve">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bookmarkStart w:id="6" w:name="BM3_3_2"/>
            <w:bookmarkEnd w:id="6"/>
            <w:r w:rsidRPr="00D06093">
              <w:rPr>
                <w:rFonts w:ascii="Times New Roman" w:eastAsia="MS Mincho" w:hAnsi="Times New Roman" w:cs="Times New Roman"/>
              </w:rPr>
              <w:t xml:space="preserve"> </w:t>
            </w:r>
          </w:p>
        </w:tc>
        <w:tc>
          <w:tcPr>
            <w:tcW w:w="7110" w:type="dxa"/>
            <w:shd w:val="clear" w:color="auto" w:fill="auto"/>
          </w:tcPr>
          <w:p w:rsidR="00BF6038" w:rsidRPr="00BF6038" w:rsidRDefault="00BF6038" w:rsidP="00BF6038">
            <w:pPr>
              <w:rPr>
                <w:rFonts w:ascii="Times" w:eastAsia="MS Mincho" w:hAnsi="Times"/>
                <w:b/>
              </w:rPr>
            </w:pPr>
            <w:r w:rsidRPr="00BF6038">
              <w:rPr>
                <w:rFonts w:ascii="Times" w:eastAsia="MS Mincho" w:hAnsi="Times"/>
                <w:b/>
              </w:rPr>
              <w:t xml:space="preserve">What crime is being described in Article III, Section 3? Define this crime in your own words. </w:t>
            </w: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Default="00BF6038" w:rsidP="00BF6038">
            <w:pPr>
              <w:rPr>
                <w:rFonts w:ascii="Times" w:eastAsia="MS Mincho" w:hAnsi="Times"/>
              </w:rPr>
            </w:pPr>
          </w:p>
          <w:p w:rsidR="00BF6038" w:rsidRPr="00D06093" w:rsidRDefault="00BF6038" w:rsidP="00BF6038">
            <w:pPr>
              <w:rPr>
                <w:rFonts w:ascii="Times" w:eastAsia="MS Mincho" w:hAnsi="Times"/>
              </w:rPr>
            </w:pPr>
          </w:p>
        </w:tc>
      </w:tr>
    </w:tbl>
    <w:p w:rsidR="001653A5" w:rsidRDefault="001653A5"/>
    <w:sectPr w:rsidR="001653A5" w:rsidSect="00BF60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8"/>
    <w:rsid w:val="001653A5"/>
    <w:rsid w:val="00BF6038"/>
    <w:rsid w:val="00C4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02A5"/>
  <w15:chartTrackingRefBased/>
  <w15:docId w15:val="{F2AAB328-279A-407E-999E-1C4D9A0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3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3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2019-01-05T21:33:00Z</dcterms:created>
  <dcterms:modified xsi:type="dcterms:W3CDTF">2019-01-05T21:44:00Z</dcterms:modified>
</cp:coreProperties>
</file>